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</w:rPr>
        <w:t>年广西夜游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  <w:lang w:val="en-US" w:eastAsia="zh-CN"/>
        </w:rPr>
        <w:t>街区品牌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highlight w:val="none"/>
          <w:lang w:eastAsia="zh-CN"/>
        </w:rPr>
        <w:t>申报书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街区建筑面积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2.商业及消费概述（提供全年消费数据和夜间消费数据证明）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2.1商业空置率（提供空置商业设施的建筑面积与街区总商业面积数据证明）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2.2夜间访客消费总量（提供全年消费数据和夜间消费数据证明）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3.1夜间文化氛围（提供街区业态布局图、街区长度、网点密度、文化氛围等材料）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3.2夜间文化特色（提供夜间开放的文化场馆、文化项目列表及作证）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3.3夜间娱乐文化体验活动（如夜间主题观光、实景演艺、非物质文化展演、节庆活动、街头艺术展示等）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3.4夜间美食特色餐饮（如酒吧、咖啡馆、茶吧、西餐厅等）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3.5夜间购物环境（是否具有购物场所、游憩场所、休闲区域等）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4.1夜间游览秩序（制度及制度执行情况、秩序现场等）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4.3夜间交通保障力（公交、地铁、旅游专线等情况）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4.4夜间公共服务设施（水电气供给、污水收集排放、垃圾清运及处理、厕所、标识系统、WIFI等配套设施）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4.5夜游环境亮化美化（重点街区景点和主要游览道路夜间灯光造景效果等）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4.6夜间文化旅游市场监督管理（制度、投诉处理机制、效果等）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5.1夜间项目提供就业（提供就业数据证明，包含夜间就业人数证明）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</w:p>
    <w:p>
      <w:pPr>
        <w:rPr>
          <w:color w:val="auto"/>
        </w:rPr>
      </w:pPr>
    </w:p>
    <w:p>
      <w:pPr>
        <w:rPr>
          <w:rFonts w:hint="eastAsia" w:ascii="宋体" w:hAnsi="宋体" w:cs="宋体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spacing w:line="580" w:lineRule="exact"/>
        <w:jc w:val="left"/>
        <w:rPr>
          <w:rFonts w:hint="eastAsia" w:ascii="仿宋_GB2312" w:hAnsi="Times New Roman"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588" w:right="1474" w:bottom="1134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13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006C754A"/>
    <w:rsid w:val="15E434DF"/>
    <w:rsid w:val="1C972570"/>
    <w:rsid w:val="34CB752E"/>
    <w:rsid w:val="40151310"/>
    <w:rsid w:val="409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807</Words>
  <Characters>857</Characters>
  <Lines>0</Lines>
  <Paragraphs>0</Paragraphs>
  <TotalTime>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2023-07-13T08:34:48Z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