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default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5：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</w:rPr>
        <w:t>年广西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夜购场所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696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2.消费规模概述（提供全年消费数据和夜间消费数据证明）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3.1经营规模（包括经营面积、门店数量、商品品种等指标）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3.2特色商品（国内外知名品牌、老字号商品、特色文创商品等）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3.3购物活动（品牌消费节、夜间娱乐活动等）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3.4营销宣传（宣传营销方式、手段、宣传效果等）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4.1经营秩序（制度及制度执行情况、秩序现场等）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4.3配套公共服务体系（水电气供给、垃圾清运及处理、厕所、标识系统、WIFI、无障碍设施、母婴设施、餐饮和休闲场所等配套设施）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4.4夜间亮化美化（重点场所和地段夜间灯光造景效果等）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4.5监督管理（制度、投诉处理机制、售后服务效果等）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</w:p>
    <w:p>
      <w:pPr>
        <w:spacing w:line="580" w:lineRule="exact"/>
        <w:jc w:val="left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16D81029"/>
    <w:rsid w:val="1C972570"/>
    <w:rsid w:val="34CB752E"/>
    <w:rsid w:val="589D46F7"/>
    <w:rsid w:val="71EA2243"/>
    <w:rsid w:val="7A5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632</Words>
  <Characters>674</Characters>
  <Lines>0</Lines>
  <Paragraphs>0</Paragraphs>
  <TotalTime>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2023-07-13T08:37:19Z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